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D928BB" w:rsidRDefault="00D928BB" w:rsidP="00D928BB">
      <w:pPr>
        <w:jc w:val="center"/>
        <w:rPr>
          <w:rFonts w:ascii="Arial" w:hAnsi="Arial" w:cs="Arial"/>
          <w:b/>
          <w:sz w:val="24"/>
          <w:szCs w:val="24"/>
        </w:rPr>
      </w:pPr>
      <w:r w:rsidRPr="00D928BB">
        <w:rPr>
          <w:rFonts w:ascii="Arial" w:hAnsi="Arial" w:cs="Arial"/>
          <w:b/>
          <w:sz w:val="24"/>
          <w:szCs w:val="24"/>
        </w:rPr>
        <w:t>DEPARTAMENTO ADMINISTRATIVO DE LA FUNCION PÚBLICA</w:t>
      </w:r>
    </w:p>
    <w:p w:rsidR="00D928BB" w:rsidRPr="00D928BB" w:rsidRDefault="00D928BB" w:rsidP="00D928BB">
      <w:pPr>
        <w:jc w:val="center"/>
        <w:rPr>
          <w:rFonts w:ascii="Arial" w:hAnsi="Arial" w:cs="Arial"/>
          <w:b/>
          <w:sz w:val="24"/>
          <w:szCs w:val="24"/>
        </w:rPr>
      </w:pPr>
      <w:r w:rsidRPr="00D928BB">
        <w:rPr>
          <w:rFonts w:ascii="Arial" w:hAnsi="Arial" w:cs="Arial"/>
          <w:b/>
          <w:sz w:val="24"/>
          <w:szCs w:val="24"/>
        </w:rPr>
        <w:t>CONCEPTO 169221</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Fecha: 06/05/2022 01:46:25 p.m.</w:t>
      </w:r>
      <w:bookmarkStart w:id="0" w:name="_GoBack"/>
      <w:bookmarkEnd w:id="0"/>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Bogotá D.C</w:t>
      </w:r>
    </w:p>
    <w:p w:rsidR="00D928BB" w:rsidRPr="00D928BB" w:rsidRDefault="00D928BB" w:rsidP="00D928BB">
      <w:pPr>
        <w:shd w:val="clear" w:color="auto" w:fill="FFFFFF"/>
        <w:spacing w:after="100" w:afterAutospacing="1" w:line="240" w:lineRule="auto"/>
        <w:jc w:val="both"/>
        <w:rPr>
          <w:rFonts w:ascii="Arial" w:eastAsia="Times New Roman" w:hAnsi="Arial" w:cs="Arial"/>
          <w:b/>
          <w:bCs/>
          <w:color w:val="333333"/>
          <w:sz w:val="24"/>
          <w:szCs w:val="24"/>
          <w:lang w:eastAsia="es-CO"/>
        </w:rPr>
      </w:pPr>
      <w:r w:rsidRPr="00D928BB">
        <w:rPr>
          <w:rFonts w:ascii="Arial" w:eastAsia="Times New Roman" w:hAnsi="Arial" w:cs="Arial"/>
          <w:b/>
          <w:bCs/>
          <w:color w:val="333333"/>
          <w:sz w:val="24"/>
          <w:szCs w:val="24"/>
          <w:lang w:eastAsia="es-CO"/>
        </w:rPr>
        <w:t xml:space="preserve">REFERENCIA: RETIRO DEL SERVICIO- </w:t>
      </w:r>
      <w:proofErr w:type="spellStart"/>
      <w:r w:rsidRPr="00D928BB">
        <w:rPr>
          <w:rFonts w:ascii="Arial" w:eastAsia="Times New Roman" w:hAnsi="Arial" w:cs="Arial"/>
          <w:b/>
          <w:bCs/>
          <w:color w:val="333333"/>
          <w:sz w:val="24"/>
          <w:szCs w:val="24"/>
          <w:lang w:eastAsia="es-CO"/>
        </w:rPr>
        <w:t>Prepensionado</w:t>
      </w:r>
      <w:proofErr w:type="spellEnd"/>
      <w:r w:rsidRPr="00D928BB">
        <w:rPr>
          <w:rFonts w:ascii="Arial" w:eastAsia="Times New Roman" w:hAnsi="Arial" w:cs="Arial"/>
          <w:b/>
          <w:bCs/>
          <w:color w:val="333333"/>
          <w:sz w:val="24"/>
          <w:szCs w:val="24"/>
          <w:lang w:eastAsia="es-CO"/>
        </w:rPr>
        <w:t xml:space="preserve">. </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En atención al escrito de la referencia, mediante el cual realiza la siguiente consulta:</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 xml:space="preserve">“Por favor Solicito comedidamente se me informe si después de haber tenido un nombramiento en provisionalidad por espacio de 20 años. </w:t>
      </w:r>
      <w:proofErr w:type="gramStart"/>
      <w:r w:rsidRPr="00D928BB">
        <w:rPr>
          <w:rFonts w:ascii="Arial" w:eastAsia="Times New Roman" w:hAnsi="Arial" w:cs="Arial"/>
          <w:color w:val="333333"/>
          <w:sz w:val="24"/>
          <w:szCs w:val="24"/>
          <w:lang w:eastAsia="es-CO"/>
        </w:rPr>
        <w:t>y</w:t>
      </w:r>
      <w:proofErr w:type="gramEnd"/>
      <w:r w:rsidRPr="00D928BB">
        <w:rPr>
          <w:rFonts w:ascii="Arial" w:eastAsia="Times New Roman" w:hAnsi="Arial" w:cs="Arial"/>
          <w:color w:val="333333"/>
          <w:sz w:val="24"/>
          <w:szCs w:val="24"/>
          <w:lang w:eastAsia="es-CO"/>
        </w:rPr>
        <w:t xml:space="preserve"> hacen un concurso de mérito donde quedo en lista de elegibles, la entidad puede prescindir de mis servicios, a pesar de que ya estoy próxima a mi pensión pues tengo 52 años y 20 años de cotización"</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Me permito manifestarle:</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En primer lugar, se precisa que este Departamento Administrativo en ejercicio de las funciones descritas en el Decreto </w:t>
      </w:r>
      <w:hyperlink r:id="rId5" w:anchor="0" w:tooltip="vinculo" w:history="1">
        <w:r w:rsidRPr="00D928BB">
          <w:rPr>
            <w:rFonts w:ascii="Arial" w:eastAsia="Times New Roman" w:hAnsi="Arial" w:cs="Arial"/>
            <w:color w:val="007BFF"/>
            <w:sz w:val="24"/>
            <w:szCs w:val="24"/>
            <w:lang w:eastAsia="es-CO"/>
          </w:rPr>
          <w:t>430 </w:t>
        </w:r>
      </w:hyperlink>
      <w:r w:rsidRPr="00D928BB">
        <w:rPr>
          <w:rFonts w:ascii="Arial" w:eastAsia="Times New Roman" w:hAnsi="Arial" w:cs="Arial"/>
          <w:color w:val="333333"/>
          <w:sz w:val="24"/>
          <w:szCs w:val="24"/>
          <w:lang w:eastAsia="es-CO"/>
        </w:rPr>
        <w:t>de 2016, realiza la interpretación general de las disposiciones legales relacionadas con el empleo público y la administración de personal; sin embargo, no le corresponde la valoración de los casos particulares, y carece de competencia para realizar el reconocimiento de derechos; tampoco funge como entre de control ni es el competente para decidir sobre la legalidad de las actuaciones de las entidades del estado o de los servidores públicos, competencia atribuida a los jueces de la república.</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 xml:space="preserve">Por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tanto, solo se dará información general sobre el tema objeto de consulta.</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 xml:space="preserve">En relación con el retiro de servicio de empleados provisionales, se hace necesario indicar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establecido en el Decreto </w:t>
      </w:r>
      <w:hyperlink r:id="rId6" w:anchor="0" w:tooltip="vinculo" w:history="1">
        <w:r w:rsidRPr="00D928BB">
          <w:rPr>
            <w:rFonts w:ascii="Arial" w:eastAsia="Times New Roman" w:hAnsi="Arial" w:cs="Arial"/>
            <w:color w:val="007BFF"/>
            <w:sz w:val="24"/>
            <w:szCs w:val="24"/>
            <w:lang w:eastAsia="es-CO"/>
          </w:rPr>
          <w:t>1083 </w:t>
        </w:r>
      </w:hyperlink>
      <w:r w:rsidRPr="00D928BB">
        <w:rPr>
          <w:rFonts w:ascii="Arial" w:eastAsia="Times New Roman" w:hAnsi="Arial" w:cs="Arial"/>
          <w:color w:val="333333"/>
          <w:sz w:val="24"/>
          <w:szCs w:val="24"/>
          <w:lang w:eastAsia="es-CO"/>
        </w:rPr>
        <w:t>de 2015, que dispone:</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b/>
          <w:bCs/>
          <w:color w:val="333333"/>
          <w:sz w:val="24"/>
          <w:szCs w:val="24"/>
          <w:lang w:eastAsia="es-CO"/>
        </w:rPr>
        <w:t>“ARTÍCULO </w:t>
      </w:r>
      <w:hyperlink r:id="rId7" w:anchor="2.2.5.3.4" w:tooltip="vinculo" w:history="1">
        <w:r w:rsidRPr="00D928BB">
          <w:rPr>
            <w:rFonts w:ascii="Arial" w:eastAsia="Times New Roman" w:hAnsi="Arial" w:cs="Arial"/>
            <w:b/>
            <w:bCs/>
            <w:color w:val="007BFF"/>
            <w:sz w:val="24"/>
            <w:szCs w:val="24"/>
            <w:lang w:eastAsia="es-CO"/>
          </w:rPr>
          <w:t>2.2.5.3.4</w:t>
        </w:r>
      </w:hyperlink>
      <w:r w:rsidRPr="00D928BB">
        <w:rPr>
          <w:rFonts w:ascii="Arial" w:eastAsia="Times New Roman" w:hAnsi="Arial" w:cs="Arial"/>
          <w:b/>
          <w:bCs/>
          <w:color w:val="333333"/>
          <w:sz w:val="24"/>
          <w:szCs w:val="24"/>
          <w:lang w:eastAsia="es-CO"/>
        </w:rPr>
        <w:t> Terminación de encargo y nombramiento provisional.</w:t>
      </w:r>
      <w:r w:rsidRPr="00D928BB">
        <w:rPr>
          <w:rFonts w:ascii="Arial" w:eastAsia="Times New Roman" w:hAnsi="Arial" w:cs="Arial"/>
          <w:color w:val="333333"/>
          <w:sz w:val="24"/>
          <w:szCs w:val="24"/>
          <w:lang w:eastAsia="es-CO"/>
        </w:rPr>
        <w:t> Antes de cumplirse el término de duración del encargo, de la prórroga o del nombramiento provisional, el nominador, p</w:t>
      </w:r>
      <w:r w:rsidRPr="00D928BB">
        <w:rPr>
          <w:rFonts w:ascii="Arial" w:eastAsia="Times New Roman" w:hAnsi="Arial" w:cs="Arial"/>
          <w:color w:val="333333"/>
          <w:sz w:val="24"/>
          <w:szCs w:val="24"/>
          <w:u w:val="single"/>
          <w:lang w:eastAsia="es-CO"/>
        </w:rPr>
        <w:t>or resolución motivada,</w:t>
      </w:r>
      <w:r w:rsidRPr="00D928BB">
        <w:rPr>
          <w:rFonts w:ascii="Arial" w:eastAsia="Times New Roman" w:hAnsi="Arial" w:cs="Arial"/>
          <w:color w:val="333333"/>
          <w:sz w:val="24"/>
          <w:szCs w:val="24"/>
          <w:lang w:eastAsia="es-CO"/>
        </w:rPr>
        <w:t> podrá darlos por terminados".</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 xml:space="preserve">De acuerdo con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anterior, este Departamento Administrativo ha sido consistente al conceptuar que el retiro de los empleados provisionales procede siempre y cuando se motive, consonante con la Jurisprudencia de la Corte Constitucional, en la cual se ha sostenido que el empleado provisional debe conocer las razones por las cuales se le desvincula, para efectos de que ejerza su derecho de contradicción, si este es su deseo.</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lastRenderedPageBreak/>
        <w:t xml:space="preserve">De acuerdo con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precisado tenemos, entre otras, la sentencia </w:t>
      </w:r>
      <w:hyperlink r:id="rId8" w:anchor="0" w:tooltip="vinculo" w:history="1">
        <w:r w:rsidRPr="00D928BB">
          <w:rPr>
            <w:rFonts w:ascii="Arial" w:eastAsia="Times New Roman" w:hAnsi="Arial" w:cs="Arial"/>
            <w:color w:val="007BFF"/>
            <w:sz w:val="24"/>
            <w:szCs w:val="24"/>
            <w:lang w:eastAsia="es-CO"/>
          </w:rPr>
          <w:t>SU-917</w:t>
        </w:r>
      </w:hyperlink>
      <w:r w:rsidRPr="00D928BB">
        <w:rPr>
          <w:rFonts w:ascii="Arial" w:eastAsia="Times New Roman" w:hAnsi="Arial" w:cs="Arial"/>
          <w:color w:val="333333"/>
          <w:sz w:val="24"/>
          <w:szCs w:val="24"/>
          <w:lang w:eastAsia="es-CO"/>
        </w:rPr>
        <w:t> de 2010 de la Corte Constitucional, que sobre el retiro de los empleados vinculados en provisionalidad expresa:</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 xml:space="preserve">"En cuanto al retiro de servidores vinculados en provisionalidad, la Corte Constitucional ha abordado en numerosas oportunidades el tema para señalar el inexcusable deber de motivación de dichos actos. Así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ha señalado desde hace más de una década de manera uniforme y reiterada en los numerosos fallos en los que ha examinado esta problemática, a tal punto que a la fecha se registra casi un centenar de sentencias en la misma dirección, aunque con algunas variables respecto de las medidas de protección adoptadas.</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 En síntesis, la Corte concluye que respecto del acto de retiro de un servidor público que ejerce un cargo en provisionalidad no puede predicarse estabilidad laboral propia de los derechos de carrera, pero en todo caso el nominador continúa con la obligación de motivarlo, al tiempo que el administrado conserva incólume el derecho a saber de manera puntual cuáles fueron las razones que motivaron esa decisión.</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 En este orden de ideas, solo es constitucionalmente admisible una motivación donde la insubsistencia invoque argumentos puntuales como la provisión definitiva del cargo por haberse realizado el concurso de méritos respectivo, la imposición de sanciones disciplinarias, la calificación insatisfactoria u otra razón específica atinente al servicio que está prestando y debería prestar el funcionario concreto"</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 xml:space="preserve">De conformidad con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dispuesto en el artículo </w:t>
      </w:r>
      <w:hyperlink r:id="rId9" w:anchor="2.2.5.3.4" w:tooltip="vinculo" w:history="1">
        <w:r w:rsidRPr="00D928BB">
          <w:rPr>
            <w:rFonts w:ascii="Arial" w:eastAsia="Times New Roman" w:hAnsi="Arial" w:cs="Arial"/>
            <w:color w:val="007BFF"/>
            <w:sz w:val="24"/>
            <w:szCs w:val="24"/>
            <w:lang w:eastAsia="es-CO"/>
          </w:rPr>
          <w:t>2.2.5.3.4</w:t>
        </w:r>
      </w:hyperlink>
      <w:r w:rsidRPr="00D928BB">
        <w:rPr>
          <w:rFonts w:ascii="Arial" w:eastAsia="Times New Roman" w:hAnsi="Arial" w:cs="Arial"/>
          <w:color w:val="333333"/>
          <w:sz w:val="24"/>
          <w:szCs w:val="24"/>
          <w:lang w:eastAsia="es-CO"/>
        </w:rPr>
        <w:t>. del Decreto </w:t>
      </w:r>
      <w:hyperlink r:id="rId10" w:anchor="0" w:tooltip="vinculo" w:history="1">
        <w:r w:rsidRPr="00D928BB">
          <w:rPr>
            <w:rFonts w:ascii="Arial" w:eastAsia="Times New Roman" w:hAnsi="Arial" w:cs="Arial"/>
            <w:color w:val="007BFF"/>
            <w:sz w:val="24"/>
            <w:szCs w:val="24"/>
            <w:lang w:eastAsia="es-CO"/>
          </w:rPr>
          <w:t>1083 </w:t>
        </w:r>
      </w:hyperlink>
      <w:r w:rsidRPr="00D928BB">
        <w:rPr>
          <w:rFonts w:ascii="Arial" w:eastAsia="Times New Roman" w:hAnsi="Arial" w:cs="Arial"/>
          <w:color w:val="333333"/>
          <w:sz w:val="24"/>
          <w:szCs w:val="24"/>
          <w:lang w:eastAsia="es-CO"/>
        </w:rPr>
        <w:t>de 2015, y el criterio expuesto por la Corte Constitucional en la Sentencia </w:t>
      </w:r>
      <w:hyperlink r:id="rId11" w:anchor="0" w:tooltip="vinculo" w:history="1">
        <w:r w:rsidRPr="00D928BB">
          <w:rPr>
            <w:rFonts w:ascii="Arial" w:eastAsia="Times New Roman" w:hAnsi="Arial" w:cs="Arial"/>
            <w:color w:val="007BFF"/>
            <w:sz w:val="24"/>
            <w:szCs w:val="24"/>
            <w:lang w:eastAsia="es-CO"/>
          </w:rPr>
          <w:t>SU-917</w:t>
        </w:r>
      </w:hyperlink>
      <w:r w:rsidRPr="00D928BB">
        <w:rPr>
          <w:rFonts w:ascii="Arial" w:eastAsia="Times New Roman" w:hAnsi="Arial" w:cs="Arial"/>
          <w:color w:val="333333"/>
          <w:sz w:val="24"/>
          <w:szCs w:val="24"/>
          <w:lang w:eastAsia="es-CO"/>
        </w:rPr>
        <w:t> de 2010, la terminación del nombramiento provisional o el de su prórroga, procede por acto motivado, y sólo es admisible una motivación donde la insubsistencia invoque argumentos puntuales como la provisión definitiva del cargo por haberse realizado el concurso de méritos respectivo, la imposición de sanciones disciplinarias, la calificación insatisfactoria u otra razón específica atinente al servicio que está prestando y debería prestar el funcionario concreto.</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Ahora bien, en relación a la protección especial del empleado público pre-pensionado, el artículo </w:t>
      </w:r>
      <w:hyperlink r:id="rId12" w:anchor="8" w:tooltip="vinculo" w:history="1">
        <w:r w:rsidRPr="00D928BB">
          <w:rPr>
            <w:rFonts w:ascii="Arial" w:eastAsia="Times New Roman" w:hAnsi="Arial" w:cs="Arial"/>
            <w:color w:val="007BFF"/>
            <w:sz w:val="24"/>
            <w:szCs w:val="24"/>
            <w:lang w:eastAsia="es-CO"/>
          </w:rPr>
          <w:t>8</w:t>
        </w:r>
      </w:hyperlink>
      <w:r w:rsidRPr="00D928BB">
        <w:rPr>
          <w:rFonts w:ascii="Arial" w:eastAsia="Times New Roman" w:hAnsi="Arial" w:cs="Arial"/>
          <w:color w:val="333333"/>
          <w:sz w:val="24"/>
          <w:szCs w:val="24"/>
          <w:lang w:eastAsia="es-CO"/>
        </w:rPr>
        <w:t> de la Ley </w:t>
      </w:r>
      <w:hyperlink r:id="rId13" w:anchor="0" w:tooltip="vinculo" w:history="1">
        <w:r w:rsidRPr="00D928BB">
          <w:rPr>
            <w:rFonts w:ascii="Arial" w:eastAsia="Times New Roman" w:hAnsi="Arial" w:cs="Arial"/>
            <w:color w:val="007BFF"/>
            <w:sz w:val="24"/>
            <w:szCs w:val="24"/>
            <w:lang w:eastAsia="es-CO"/>
          </w:rPr>
          <w:t>2040 </w:t>
        </w:r>
      </w:hyperlink>
      <w:r w:rsidRPr="00D928BB">
        <w:rPr>
          <w:rFonts w:ascii="Arial" w:eastAsia="Times New Roman" w:hAnsi="Arial" w:cs="Arial"/>
          <w:color w:val="333333"/>
          <w:sz w:val="24"/>
          <w:szCs w:val="24"/>
          <w:lang w:eastAsia="es-CO"/>
        </w:rPr>
        <w:t xml:space="preserve">de 2020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define como:</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"Las personas a las que les falte tres años o menos para cumplir los requisitos que les permitirían acceder a la pensión de jubilación o vejez, que hagan parte de las plantas de las entidades públicas en nombramiento provisional o temporal </w:t>
      </w:r>
      <w:r w:rsidRPr="00D928BB">
        <w:rPr>
          <w:rFonts w:ascii="Arial" w:eastAsia="Times New Roman" w:hAnsi="Arial" w:cs="Arial"/>
          <w:b/>
          <w:bCs/>
          <w:color w:val="333333"/>
          <w:sz w:val="24"/>
          <w:szCs w:val="24"/>
          <w:u w:val="single"/>
          <w:lang w:eastAsia="es-CO"/>
        </w:rPr>
        <w:t>y que, derivado de procesos de restructuración administrativa o provisión</w:t>
      </w:r>
      <w:r w:rsidRPr="00D928BB">
        <w:rPr>
          <w:rFonts w:ascii="Arial" w:eastAsia="Times New Roman" w:hAnsi="Arial" w:cs="Arial"/>
          <w:b/>
          <w:bCs/>
          <w:color w:val="333333"/>
          <w:sz w:val="24"/>
          <w:szCs w:val="24"/>
          <w:lang w:eastAsia="es-CO"/>
        </w:rPr>
        <w:t> </w:t>
      </w:r>
      <w:r w:rsidRPr="00D928BB">
        <w:rPr>
          <w:rFonts w:ascii="Arial" w:eastAsia="Times New Roman" w:hAnsi="Arial" w:cs="Arial"/>
          <w:b/>
          <w:bCs/>
          <w:color w:val="333333"/>
          <w:sz w:val="24"/>
          <w:szCs w:val="24"/>
          <w:u w:val="single"/>
          <w:lang w:eastAsia="es-CO"/>
        </w:rPr>
        <w:t>definitiva de cargos públicos a través de concursos de mérito, deberían ser separados de sus cargos,</w:t>
      </w:r>
      <w:r w:rsidRPr="00D928BB">
        <w:rPr>
          <w:rFonts w:ascii="Arial" w:eastAsia="Times New Roman" w:hAnsi="Arial" w:cs="Arial"/>
          <w:b/>
          <w:bCs/>
          <w:color w:val="333333"/>
          <w:sz w:val="24"/>
          <w:szCs w:val="24"/>
          <w:lang w:eastAsia="es-CO"/>
        </w:rPr>
        <w:t> </w:t>
      </w:r>
      <w:r w:rsidRPr="00D928BB">
        <w:rPr>
          <w:rFonts w:ascii="Arial" w:eastAsia="Times New Roman" w:hAnsi="Arial" w:cs="Arial"/>
          <w:b/>
          <w:bCs/>
          <w:color w:val="333333"/>
          <w:sz w:val="24"/>
          <w:szCs w:val="24"/>
          <w:u w:val="single"/>
          <w:lang w:eastAsia="es-CO"/>
        </w:rPr>
        <w:t>serán sujetos de especial protección por parte del Estado y en virtud de la misma deberán ser</w:t>
      </w:r>
      <w:r w:rsidRPr="00D928BB">
        <w:rPr>
          <w:rFonts w:ascii="Arial" w:eastAsia="Times New Roman" w:hAnsi="Arial" w:cs="Arial"/>
          <w:b/>
          <w:bCs/>
          <w:color w:val="333333"/>
          <w:sz w:val="24"/>
          <w:szCs w:val="24"/>
          <w:lang w:eastAsia="es-CO"/>
        </w:rPr>
        <w:t> </w:t>
      </w:r>
      <w:r w:rsidRPr="00D928BB">
        <w:rPr>
          <w:rFonts w:ascii="Arial" w:eastAsia="Times New Roman" w:hAnsi="Arial" w:cs="Arial"/>
          <w:b/>
          <w:bCs/>
          <w:color w:val="333333"/>
          <w:sz w:val="24"/>
          <w:szCs w:val="24"/>
          <w:u w:val="single"/>
          <w:lang w:eastAsia="es-CO"/>
        </w:rPr>
        <w:t>reubicados hasta tanto adquieran los requisitos mínimos para el acceso al beneficio pensional"</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(Negrilla y subrayado por fuera del texto original).</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lastRenderedPageBreak/>
        <w:t>De acuerdo con el legislador, en los casos de rediseño institucional en los que se deban suprimir cargos, o en los casos de la provisión definitiva de los empleos a través del concurso de mérito, los empleados provisionales o los temporales que sean pre-pensionados, deberán ser reubicados hasta tanto adquieran los requisitos mínimos para el acceso al beneficio pensional.</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En desarrollo de la Ley </w:t>
      </w:r>
      <w:hyperlink r:id="rId14" w:anchor="0" w:tooltip="vinculo" w:history="1">
        <w:r w:rsidRPr="00D928BB">
          <w:rPr>
            <w:rFonts w:ascii="Arial" w:eastAsia="Times New Roman" w:hAnsi="Arial" w:cs="Arial"/>
            <w:color w:val="007BFF"/>
            <w:sz w:val="24"/>
            <w:szCs w:val="24"/>
            <w:lang w:eastAsia="es-CO"/>
          </w:rPr>
          <w:t>2040 </w:t>
        </w:r>
      </w:hyperlink>
      <w:r w:rsidRPr="00D928BB">
        <w:rPr>
          <w:rFonts w:ascii="Arial" w:eastAsia="Times New Roman" w:hAnsi="Arial" w:cs="Arial"/>
          <w:color w:val="333333"/>
          <w:sz w:val="24"/>
          <w:szCs w:val="24"/>
          <w:lang w:eastAsia="es-CO"/>
        </w:rPr>
        <w:t>de 2020, el Gobierno nacional expidió el Decreto </w:t>
      </w:r>
      <w:hyperlink r:id="rId15" w:anchor="0" w:tooltip="vinculo" w:history="1">
        <w:r w:rsidRPr="00D928BB">
          <w:rPr>
            <w:rFonts w:ascii="Arial" w:eastAsia="Times New Roman" w:hAnsi="Arial" w:cs="Arial"/>
            <w:color w:val="007BFF"/>
            <w:sz w:val="24"/>
            <w:szCs w:val="24"/>
            <w:lang w:eastAsia="es-CO"/>
          </w:rPr>
          <w:t>1415 </w:t>
        </w:r>
      </w:hyperlink>
      <w:r w:rsidRPr="00D928BB">
        <w:rPr>
          <w:rFonts w:ascii="Arial" w:eastAsia="Times New Roman" w:hAnsi="Arial" w:cs="Arial"/>
          <w:color w:val="333333"/>
          <w:sz w:val="24"/>
          <w:szCs w:val="24"/>
          <w:lang w:eastAsia="es-CO"/>
        </w:rPr>
        <w:t>del 04 de noviembre de 2021, mediante el cual se modificó el artículo </w:t>
      </w:r>
      <w:hyperlink r:id="rId16" w:anchor="2.2.12.1.2.2" w:tooltip="vinculo" w:history="1">
        <w:r w:rsidRPr="00D928BB">
          <w:rPr>
            <w:rFonts w:ascii="Arial" w:eastAsia="Times New Roman" w:hAnsi="Arial" w:cs="Arial"/>
            <w:color w:val="007BFF"/>
            <w:sz w:val="24"/>
            <w:szCs w:val="24"/>
            <w:lang w:eastAsia="es-CO"/>
          </w:rPr>
          <w:t>2.2.12.1.2.2</w:t>
        </w:r>
      </w:hyperlink>
      <w:r w:rsidRPr="00D928BB">
        <w:rPr>
          <w:rFonts w:ascii="Arial" w:eastAsia="Times New Roman" w:hAnsi="Arial" w:cs="Arial"/>
          <w:color w:val="333333"/>
          <w:sz w:val="24"/>
          <w:szCs w:val="24"/>
          <w:lang w:eastAsia="es-CO"/>
        </w:rPr>
        <w:t> del Decreto </w:t>
      </w:r>
      <w:hyperlink r:id="rId17" w:anchor="0" w:tooltip="vinculo" w:history="1">
        <w:r w:rsidRPr="00D928BB">
          <w:rPr>
            <w:rFonts w:ascii="Arial" w:eastAsia="Times New Roman" w:hAnsi="Arial" w:cs="Arial"/>
            <w:color w:val="007BFF"/>
            <w:sz w:val="24"/>
            <w:szCs w:val="24"/>
            <w:lang w:eastAsia="es-CO"/>
          </w:rPr>
          <w:t>1083 </w:t>
        </w:r>
      </w:hyperlink>
      <w:r w:rsidRPr="00D928BB">
        <w:rPr>
          <w:rFonts w:ascii="Arial" w:eastAsia="Times New Roman" w:hAnsi="Arial" w:cs="Arial"/>
          <w:color w:val="333333"/>
          <w:sz w:val="24"/>
          <w:szCs w:val="24"/>
          <w:lang w:eastAsia="es-CO"/>
        </w:rPr>
        <w:t xml:space="preserve">de 2015, en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relacionado con la protección laboral a favor de, entre otros, quienes se encuentran próximos a cumplir con los requisitos para acceder a la pensión de vejez, y en ese sentido dispuso:</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b/>
          <w:bCs/>
          <w:color w:val="333333"/>
          <w:sz w:val="24"/>
          <w:szCs w:val="24"/>
          <w:lang w:eastAsia="es-CO"/>
        </w:rPr>
        <w:t>“ARTÍCULO </w:t>
      </w:r>
      <w:hyperlink r:id="rId18" w:anchor="2.2.12.1.2.2" w:tooltip="vinculo" w:history="1">
        <w:r w:rsidRPr="00D928BB">
          <w:rPr>
            <w:rFonts w:ascii="Arial" w:eastAsia="Times New Roman" w:hAnsi="Arial" w:cs="Arial"/>
            <w:b/>
            <w:bCs/>
            <w:color w:val="007BFF"/>
            <w:sz w:val="24"/>
            <w:szCs w:val="24"/>
            <w:lang w:eastAsia="es-CO"/>
          </w:rPr>
          <w:t>2.2.12.1.2.2</w:t>
        </w:r>
      </w:hyperlink>
      <w:r w:rsidRPr="00D928BB">
        <w:rPr>
          <w:rFonts w:ascii="Arial" w:eastAsia="Times New Roman" w:hAnsi="Arial" w:cs="Arial"/>
          <w:b/>
          <w:bCs/>
          <w:color w:val="333333"/>
          <w:sz w:val="24"/>
          <w:szCs w:val="24"/>
          <w:lang w:eastAsia="es-CO"/>
        </w:rPr>
        <w:t>. Trámite</w:t>
      </w:r>
      <w:r w:rsidRPr="00D928BB">
        <w:rPr>
          <w:rFonts w:ascii="Arial" w:eastAsia="Times New Roman" w:hAnsi="Arial" w:cs="Arial"/>
          <w:color w:val="333333"/>
          <w:sz w:val="24"/>
          <w:szCs w:val="24"/>
          <w:lang w:eastAsia="es-CO"/>
        </w:rPr>
        <w:t>. Para hacer efectiva la estabilidad laboral de que trata el artículo anterior, los organismos y entidades que modifiquen sus plantas de personal permanente o temporal respetarán las siguientes reglas:</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1. Acreditación de la causal de protección:</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 d) Personas próximas a pensionarse: Sin perjuicio de que el servidor público que considere encontrarse en este grupo adjunte los documentos que acreditan la condición que invoca, los jefes de personal o quienes hagan sus </w:t>
      </w:r>
      <w:r w:rsidRPr="00D928BB">
        <w:rPr>
          <w:rFonts w:ascii="Arial" w:eastAsia="Times New Roman" w:hAnsi="Arial" w:cs="Arial"/>
          <w:b/>
          <w:bCs/>
          <w:color w:val="333333"/>
          <w:sz w:val="24"/>
          <w:szCs w:val="24"/>
          <w:lang w:eastAsia="es-CO"/>
        </w:rPr>
        <w:t>veces </w:t>
      </w:r>
      <w:r w:rsidRPr="00D928BB">
        <w:rPr>
          <w:rFonts w:ascii="Arial" w:eastAsia="Times New Roman" w:hAnsi="Arial" w:cs="Arial"/>
          <w:b/>
          <w:bCs/>
          <w:color w:val="333333"/>
          <w:sz w:val="24"/>
          <w:szCs w:val="24"/>
          <w:u w:val="single"/>
          <w:lang w:eastAsia="es-CO"/>
        </w:rPr>
        <w:t>deben verificar que a los servidores que puedan encontrarse en estas circunstancias</w:t>
      </w:r>
      <w:r w:rsidRPr="00D928BB">
        <w:rPr>
          <w:rFonts w:ascii="Arial" w:eastAsia="Times New Roman" w:hAnsi="Arial" w:cs="Arial"/>
          <w:b/>
          <w:bCs/>
          <w:color w:val="333333"/>
          <w:sz w:val="24"/>
          <w:szCs w:val="24"/>
          <w:lang w:eastAsia="es-CO"/>
        </w:rPr>
        <w:t> </w:t>
      </w:r>
      <w:r w:rsidRPr="00D928BB">
        <w:rPr>
          <w:rFonts w:ascii="Arial" w:eastAsia="Times New Roman" w:hAnsi="Arial" w:cs="Arial"/>
          <w:b/>
          <w:bCs/>
          <w:color w:val="333333"/>
          <w:sz w:val="24"/>
          <w:szCs w:val="24"/>
          <w:u w:val="single"/>
          <w:lang w:eastAsia="es-CO"/>
        </w:rPr>
        <w:t>en efecto les falten tres (3 años o</w:t>
      </w:r>
      <w:r w:rsidRPr="00D928BB">
        <w:rPr>
          <w:rFonts w:ascii="Arial" w:eastAsia="Times New Roman" w:hAnsi="Arial" w:cs="Arial"/>
          <w:color w:val="333333"/>
          <w:sz w:val="24"/>
          <w:szCs w:val="24"/>
          <w:u w:val="single"/>
          <w:lang w:eastAsia="es-CO"/>
        </w:rPr>
        <w:t> </w:t>
      </w:r>
      <w:r w:rsidRPr="00D928BB">
        <w:rPr>
          <w:rFonts w:ascii="Arial" w:eastAsia="Times New Roman" w:hAnsi="Arial" w:cs="Arial"/>
          <w:b/>
          <w:bCs/>
          <w:color w:val="333333"/>
          <w:sz w:val="24"/>
          <w:szCs w:val="24"/>
          <w:u w:val="single"/>
          <w:lang w:eastAsia="es-CO"/>
        </w:rPr>
        <w:t>menos para reunir los requisitos legales para el reconocimiento de</w:t>
      </w:r>
      <w:r w:rsidRPr="00D928BB">
        <w:rPr>
          <w:rFonts w:ascii="Arial" w:eastAsia="Times New Roman" w:hAnsi="Arial" w:cs="Arial"/>
          <w:b/>
          <w:bCs/>
          <w:color w:val="333333"/>
          <w:sz w:val="24"/>
          <w:szCs w:val="24"/>
          <w:lang w:eastAsia="es-CO"/>
        </w:rPr>
        <w:t> </w:t>
      </w:r>
      <w:r w:rsidRPr="00D928BB">
        <w:rPr>
          <w:rFonts w:ascii="Arial" w:eastAsia="Times New Roman" w:hAnsi="Arial" w:cs="Arial"/>
          <w:b/>
          <w:bCs/>
          <w:color w:val="333333"/>
          <w:sz w:val="24"/>
          <w:szCs w:val="24"/>
          <w:u w:val="single"/>
          <w:lang w:eastAsia="es-CO"/>
        </w:rPr>
        <w:t>la pensión de jubilación o</w:t>
      </w:r>
      <w:r w:rsidRPr="00D928BB">
        <w:rPr>
          <w:rFonts w:ascii="Arial" w:eastAsia="Times New Roman" w:hAnsi="Arial" w:cs="Arial"/>
          <w:color w:val="333333"/>
          <w:sz w:val="24"/>
          <w:szCs w:val="24"/>
          <w:u w:val="single"/>
          <w:lang w:eastAsia="es-CO"/>
        </w:rPr>
        <w:t> </w:t>
      </w:r>
      <w:r w:rsidRPr="00D928BB">
        <w:rPr>
          <w:rFonts w:ascii="Arial" w:eastAsia="Times New Roman" w:hAnsi="Arial" w:cs="Arial"/>
          <w:b/>
          <w:bCs/>
          <w:color w:val="333333"/>
          <w:sz w:val="24"/>
          <w:szCs w:val="24"/>
          <w:u w:val="single"/>
          <w:lang w:eastAsia="es-CO"/>
        </w:rPr>
        <w:t>de vejez, y</w:t>
      </w:r>
      <w:r w:rsidRPr="00D928BB">
        <w:rPr>
          <w:rFonts w:ascii="Arial" w:eastAsia="Times New Roman" w:hAnsi="Arial" w:cs="Arial"/>
          <w:color w:val="333333"/>
          <w:sz w:val="24"/>
          <w:szCs w:val="24"/>
          <w:u w:val="single"/>
          <w:lang w:eastAsia="es-CO"/>
        </w:rPr>
        <w:t> </w:t>
      </w:r>
      <w:r w:rsidRPr="00D928BB">
        <w:rPr>
          <w:rFonts w:ascii="Arial" w:eastAsia="Times New Roman" w:hAnsi="Arial" w:cs="Arial"/>
          <w:b/>
          <w:bCs/>
          <w:color w:val="333333"/>
          <w:sz w:val="24"/>
          <w:szCs w:val="24"/>
          <w:u w:val="single"/>
          <w:lang w:eastAsia="es-CO"/>
        </w:rPr>
        <w:t>expedir constancia escrita en tal sentido.</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El jefe del organismo o entidad deberá verificar la veracidad de los datos suministrados por el destinatario de la protección.</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b/>
          <w:bCs/>
          <w:color w:val="333333"/>
          <w:sz w:val="24"/>
          <w:szCs w:val="24"/>
          <w:lang w:eastAsia="es-CO"/>
        </w:rPr>
        <w:t>ARTÍCULO 3.</w:t>
      </w:r>
      <w:r w:rsidRPr="00D928BB">
        <w:rPr>
          <w:rFonts w:ascii="Arial" w:eastAsia="Times New Roman" w:hAnsi="Arial" w:cs="Arial"/>
          <w:color w:val="333333"/>
          <w:sz w:val="24"/>
          <w:szCs w:val="24"/>
          <w:lang w:eastAsia="es-CO"/>
        </w:rPr>
        <w:t> Adicionar el artículo </w:t>
      </w:r>
      <w:hyperlink r:id="rId19" w:anchor="2.2.12.1.2.5" w:tooltip="vinculo" w:history="1">
        <w:r w:rsidRPr="00D928BB">
          <w:rPr>
            <w:rFonts w:ascii="Arial" w:eastAsia="Times New Roman" w:hAnsi="Arial" w:cs="Arial"/>
            <w:color w:val="007BFF"/>
            <w:sz w:val="24"/>
            <w:szCs w:val="24"/>
            <w:lang w:eastAsia="es-CO"/>
          </w:rPr>
          <w:t>2.2.12.1.2.5</w:t>
        </w:r>
      </w:hyperlink>
      <w:r w:rsidRPr="00D928BB">
        <w:rPr>
          <w:rFonts w:ascii="Arial" w:eastAsia="Times New Roman" w:hAnsi="Arial" w:cs="Arial"/>
          <w:color w:val="333333"/>
          <w:sz w:val="24"/>
          <w:szCs w:val="24"/>
          <w:lang w:eastAsia="es-CO"/>
        </w:rPr>
        <w:t> al Decreto </w:t>
      </w:r>
      <w:hyperlink r:id="rId20" w:anchor="0" w:tooltip="vinculo" w:history="1">
        <w:r w:rsidRPr="00D928BB">
          <w:rPr>
            <w:rFonts w:ascii="Arial" w:eastAsia="Times New Roman" w:hAnsi="Arial" w:cs="Arial"/>
            <w:color w:val="007BFF"/>
            <w:sz w:val="24"/>
            <w:szCs w:val="24"/>
            <w:lang w:eastAsia="es-CO"/>
          </w:rPr>
          <w:t>1083 </w:t>
        </w:r>
      </w:hyperlink>
      <w:r w:rsidRPr="00D928BB">
        <w:rPr>
          <w:rFonts w:ascii="Arial" w:eastAsia="Times New Roman" w:hAnsi="Arial" w:cs="Arial"/>
          <w:color w:val="333333"/>
          <w:sz w:val="24"/>
          <w:szCs w:val="24"/>
          <w:lang w:eastAsia="es-CO"/>
        </w:rPr>
        <w:t>de 2015, el cual quedará así:</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b/>
          <w:bCs/>
          <w:color w:val="333333"/>
          <w:sz w:val="24"/>
          <w:szCs w:val="24"/>
          <w:lang w:eastAsia="es-CO"/>
        </w:rPr>
        <w:t>“ARTÍCULO </w:t>
      </w:r>
      <w:hyperlink r:id="rId21" w:anchor="2.2.12.1.2.5" w:tooltip="vinculo" w:history="1">
        <w:r w:rsidRPr="00D928BB">
          <w:rPr>
            <w:rFonts w:ascii="Arial" w:eastAsia="Times New Roman" w:hAnsi="Arial" w:cs="Arial"/>
            <w:b/>
            <w:bCs/>
            <w:color w:val="007BFF"/>
            <w:sz w:val="24"/>
            <w:szCs w:val="24"/>
            <w:lang w:eastAsia="es-CO"/>
          </w:rPr>
          <w:t>2.2.12.1.2.5</w:t>
        </w:r>
      </w:hyperlink>
      <w:r w:rsidRPr="00D928BB">
        <w:rPr>
          <w:rFonts w:ascii="Arial" w:eastAsia="Times New Roman" w:hAnsi="Arial" w:cs="Arial"/>
          <w:b/>
          <w:bCs/>
          <w:color w:val="333333"/>
          <w:sz w:val="24"/>
          <w:szCs w:val="24"/>
          <w:lang w:eastAsia="es-CO"/>
        </w:rPr>
        <w:t>.</w:t>
      </w:r>
      <w:r w:rsidRPr="00D928BB">
        <w:rPr>
          <w:rFonts w:ascii="Arial" w:eastAsia="Times New Roman" w:hAnsi="Arial" w:cs="Arial"/>
          <w:color w:val="333333"/>
          <w:sz w:val="24"/>
          <w:szCs w:val="24"/>
          <w:lang w:eastAsia="es-CO"/>
        </w:rPr>
        <w:t xml:space="preserve"> De la reubicación para los servidores públicos </w:t>
      </w:r>
      <w:proofErr w:type="spellStart"/>
      <w:r w:rsidRPr="00D928BB">
        <w:rPr>
          <w:rFonts w:ascii="Arial" w:eastAsia="Times New Roman" w:hAnsi="Arial" w:cs="Arial"/>
          <w:color w:val="333333"/>
          <w:sz w:val="24"/>
          <w:szCs w:val="24"/>
          <w:lang w:eastAsia="es-CO"/>
        </w:rPr>
        <w:t>prepensionados</w:t>
      </w:r>
      <w:proofErr w:type="spellEnd"/>
      <w:r w:rsidRPr="00D928BB">
        <w:rPr>
          <w:rFonts w:ascii="Arial" w:eastAsia="Times New Roman" w:hAnsi="Arial" w:cs="Arial"/>
          <w:color w:val="333333"/>
          <w:sz w:val="24"/>
          <w:szCs w:val="24"/>
          <w:lang w:eastAsia="es-CO"/>
        </w:rPr>
        <w:t>. En cumplimiento de la protección especial en caso de reestructuración administrativa o provisión definitiva de cargos, los servidores públicos que les falten (3) tres años o menos para obtener la pensión de jubilación o vejez y no puedan continuar en el ejercicio de su cargo por razones de restructuración o provisión definitiva, deberán ser reubicados como lo señala el artículo </w:t>
      </w:r>
      <w:hyperlink r:id="rId22" w:anchor="8" w:tooltip="vinculo" w:history="1">
        <w:r w:rsidRPr="00D928BB">
          <w:rPr>
            <w:rFonts w:ascii="Arial" w:eastAsia="Times New Roman" w:hAnsi="Arial" w:cs="Arial"/>
            <w:color w:val="007BFF"/>
            <w:sz w:val="24"/>
            <w:szCs w:val="24"/>
            <w:lang w:eastAsia="es-CO"/>
          </w:rPr>
          <w:t>8 </w:t>
        </w:r>
      </w:hyperlink>
      <w:r w:rsidRPr="00D928BB">
        <w:rPr>
          <w:rFonts w:ascii="Arial" w:eastAsia="Times New Roman" w:hAnsi="Arial" w:cs="Arial"/>
          <w:color w:val="333333"/>
          <w:sz w:val="24"/>
          <w:szCs w:val="24"/>
          <w:lang w:eastAsia="es-CO"/>
        </w:rPr>
        <w:t>de la Ley </w:t>
      </w:r>
      <w:hyperlink r:id="rId23" w:anchor="0" w:tooltip="vinculo" w:history="1">
        <w:r w:rsidRPr="00D928BB">
          <w:rPr>
            <w:rFonts w:ascii="Arial" w:eastAsia="Times New Roman" w:hAnsi="Arial" w:cs="Arial"/>
            <w:color w:val="007BFF"/>
            <w:sz w:val="24"/>
            <w:szCs w:val="24"/>
            <w:lang w:eastAsia="es-CO"/>
          </w:rPr>
          <w:t>2040 </w:t>
        </w:r>
      </w:hyperlink>
      <w:r w:rsidRPr="00D928BB">
        <w:rPr>
          <w:rFonts w:ascii="Arial" w:eastAsia="Times New Roman" w:hAnsi="Arial" w:cs="Arial"/>
          <w:color w:val="333333"/>
          <w:sz w:val="24"/>
          <w:szCs w:val="24"/>
          <w:lang w:eastAsia="es-CO"/>
        </w:rPr>
        <w:t xml:space="preserve">de 2020 hasta tanto cumplan con los requisitos para obtener el beneficio pensional. Lo anterior, sin perjuicio de </w:t>
      </w:r>
      <w:proofErr w:type="spellStart"/>
      <w:r w:rsidRPr="00D928BB">
        <w:rPr>
          <w:rFonts w:ascii="Arial" w:eastAsia="Times New Roman" w:hAnsi="Arial" w:cs="Arial"/>
          <w:color w:val="333333"/>
          <w:sz w:val="24"/>
          <w:szCs w:val="24"/>
          <w:lang w:eastAsia="es-CO"/>
        </w:rPr>
        <w:t>to</w:t>
      </w:r>
      <w:proofErr w:type="spellEnd"/>
      <w:r w:rsidRPr="00D928BB">
        <w:rPr>
          <w:rFonts w:ascii="Arial" w:eastAsia="Times New Roman" w:hAnsi="Arial" w:cs="Arial"/>
          <w:color w:val="333333"/>
          <w:sz w:val="24"/>
          <w:szCs w:val="24"/>
          <w:lang w:eastAsia="es-CO"/>
        </w:rPr>
        <w:t xml:space="preserve"> establecido en el parágrafo 1 del artículo </w:t>
      </w:r>
      <w:hyperlink r:id="rId24" w:anchor="2.2.12.1.2.2" w:tooltip="vinculo" w:history="1">
        <w:r w:rsidRPr="00D928BB">
          <w:rPr>
            <w:rFonts w:ascii="Arial" w:eastAsia="Times New Roman" w:hAnsi="Arial" w:cs="Arial"/>
            <w:color w:val="007BFF"/>
            <w:sz w:val="24"/>
            <w:szCs w:val="24"/>
            <w:lang w:eastAsia="es-CO"/>
          </w:rPr>
          <w:t>2.2.12.1.2.2</w:t>
        </w:r>
      </w:hyperlink>
      <w:r w:rsidRPr="00D928BB">
        <w:rPr>
          <w:rFonts w:ascii="Arial" w:eastAsia="Times New Roman" w:hAnsi="Arial" w:cs="Arial"/>
          <w:color w:val="333333"/>
          <w:sz w:val="24"/>
          <w:szCs w:val="24"/>
          <w:lang w:eastAsia="es-CO"/>
        </w:rPr>
        <w:t>."</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lastRenderedPageBreak/>
        <w:t>Así las cosas, se colige que de acuerdo con la protección especial establecida en el Decreto </w:t>
      </w:r>
      <w:hyperlink r:id="rId25" w:anchor="0" w:tooltip="vinculo" w:history="1">
        <w:r w:rsidRPr="00D928BB">
          <w:rPr>
            <w:rFonts w:ascii="Arial" w:eastAsia="Times New Roman" w:hAnsi="Arial" w:cs="Arial"/>
            <w:color w:val="007BFF"/>
            <w:sz w:val="24"/>
            <w:szCs w:val="24"/>
            <w:lang w:eastAsia="es-CO"/>
          </w:rPr>
          <w:t>1083 </w:t>
        </w:r>
      </w:hyperlink>
      <w:r w:rsidRPr="00D928BB">
        <w:rPr>
          <w:rFonts w:ascii="Arial" w:eastAsia="Times New Roman" w:hAnsi="Arial" w:cs="Arial"/>
          <w:color w:val="333333"/>
          <w:sz w:val="24"/>
          <w:szCs w:val="24"/>
          <w:lang w:eastAsia="es-CO"/>
        </w:rPr>
        <w:t>de 2015, no pueden ser retirados del servicio quienes ostenten la calidad de empleados pre- pensionados.</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Sin embargo, para hacer efectiva la protección, según la modificación que hizo el Decreto </w:t>
      </w:r>
      <w:hyperlink r:id="rId26" w:anchor="0" w:tooltip="vinculo" w:history="1">
        <w:r w:rsidRPr="00D928BB">
          <w:rPr>
            <w:rFonts w:ascii="Arial" w:eastAsia="Times New Roman" w:hAnsi="Arial" w:cs="Arial"/>
            <w:color w:val="007BFF"/>
            <w:sz w:val="24"/>
            <w:szCs w:val="24"/>
            <w:lang w:eastAsia="es-CO"/>
          </w:rPr>
          <w:t>1415 </w:t>
        </w:r>
      </w:hyperlink>
      <w:r w:rsidRPr="00D928BB">
        <w:rPr>
          <w:rFonts w:ascii="Arial" w:eastAsia="Times New Roman" w:hAnsi="Arial" w:cs="Arial"/>
          <w:color w:val="333333"/>
          <w:sz w:val="24"/>
          <w:szCs w:val="24"/>
          <w:lang w:eastAsia="es-CO"/>
        </w:rPr>
        <w:t xml:space="preserve">de 2021, el empleado que considere que acredita los requisitos para acceder a la protección, por tener la calidad de pre pensionado, deberá adjuntar los documentos que así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constaten y aportar solicitud para el efecto, de esta forma, los jefes de la unidad de personal o quienes hagan sus veces deben verificar los servidores que tengan la calidad de pre- pensionados y expedir constancia escrita al respecto, verificando la validez de la documentación aportada por el solicitante.</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 xml:space="preserve">En consecuencia, de acuerdo con los datos suministrados usted no tiene la condición de </w:t>
      </w:r>
      <w:proofErr w:type="spellStart"/>
      <w:r w:rsidRPr="00D928BB">
        <w:rPr>
          <w:rFonts w:ascii="Arial" w:eastAsia="Times New Roman" w:hAnsi="Arial" w:cs="Arial"/>
          <w:color w:val="333333"/>
          <w:sz w:val="24"/>
          <w:szCs w:val="24"/>
          <w:lang w:eastAsia="es-CO"/>
        </w:rPr>
        <w:t>prepensionada</w:t>
      </w:r>
      <w:proofErr w:type="spellEnd"/>
      <w:r w:rsidRPr="00D928BB">
        <w:rPr>
          <w:rFonts w:ascii="Arial" w:eastAsia="Times New Roman" w:hAnsi="Arial" w:cs="Arial"/>
          <w:color w:val="333333"/>
          <w:sz w:val="24"/>
          <w:szCs w:val="24"/>
          <w:lang w:eastAsia="es-CO"/>
        </w:rPr>
        <w:t xml:space="preserve"> pues cuenta con 52 años y las mujeres en el régimen de prima media cumplen los requisitos al cumplir 57 años; es decir, no le faltan tres o menos años para obtener la pensión de jubilación o vejez por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cual no tendría protección especial para no ser retirada del servicio.</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Finalmente, me permito indicarle que para mayor información relacionada con los temas de este Departamento Administrativo, le sugerimos ingresar a la página web </w:t>
      </w:r>
      <w:hyperlink r:id="rId27" w:history="1">
        <w:r w:rsidRPr="00D928BB">
          <w:rPr>
            <w:rFonts w:ascii="Arial" w:eastAsia="Times New Roman" w:hAnsi="Arial" w:cs="Arial"/>
            <w:color w:val="007BFF"/>
            <w:sz w:val="24"/>
            <w:szCs w:val="24"/>
            <w:lang w:eastAsia="es-CO"/>
          </w:rPr>
          <w:t>www.funcionpubIica.gov.co/eva </w:t>
        </w:r>
      </w:hyperlink>
      <w:r w:rsidRPr="00D928BB">
        <w:rPr>
          <w:rFonts w:ascii="Arial" w:eastAsia="Times New Roman" w:hAnsi="Arial" w:cs="Arial"/>
          <w:color w:val="333333"/>
          <w:sz w:val="24"/>
          <w:szCs w:val="24"/>
          <w:lang w:eastAsia="es-CO"/>
        </w:rPr>
        <w:t>en el link “Gestor Normativo" donde podrá consultar entre otros temas, los conceptos emitidos por esta Dirección Jurídica.</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El anterior concepto se imparte en los términos del artículo </w:t>
      </w:r>
      <w:hyperlink r:id="rId28" w:anchor="28" w:tooltip="vinculo" w:history="1">
        <w:r w:rsidRPr="00D928BB">
          <w:rPr>
            <w:rFonts w:ascii="Arial" w:eastAsia="Times New Roman" w:hAnsi="Arial" w:cs="Arial"/>
            <w:color w:val="007BFF"/>
            <w:sz w:val="24"/>
            <w:szCs w:val="24"/>
            <w:lang w:eastAsia="es-CO"/>
          </w:rPr>
          <w:t>28 </w:t>
        </w:r>
      </w:hyperlink>
      <w:r w:rsidRPr="00D928BB">
        <w:rPr>
          <w:rFonts w:ascii="Arial" w:eastAsia="Times New Roman" w:hAnsi="Arial" w:cs="Arial"/>
          <w:color w:val="333333"/>
          <w:sz w:val="24"/>
          <w:szCs w:val="24"/>
          <w:lang w:eastAsia="es-CO"/>
        </w:rPr>
        <w:t xml:space="preserve">del Código de Procedimiento Administrativo y de </w:t>
      </w:r>
      <w:proofErr w:type="spellStart"/>
      <w:r w:rsidRPr="00D928BB">
        <w:rPr>
          <w:rFonts w:ascii="Arial" w:eastAsia="Times New Roman" w:hAnsi="Arial" w:cs="Arial"/>
          <w:color w:val="333333"/>
          <w:sz w:val="24"/>
          <w:szCs w:val="24"/>
          <w:lang w:eastAsia="es-CO"/>
        </w:rPr>
        <w:t>Io</w:t>
      </w:r>
      <w:proofErr w:type="spellEnd"/>
      <w:r w:rsidRPr="00D928BB">
        <w:rPr>
          <w:rFonts w:ascii="Arial" w:eastAsia="Times New Roman" w:hAnsi="Arial" w:cs="Arial"/>
          <w:color w:val="333333"/>
          <w:sz w:val="24"/>
          <w:szCs w:val="24"/>
          <w:lang w:eastAsia="es-CO"/>
        </w:rPr>
        <w:t xml:space="preserve"> Contencioso Administrativo.</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Cordialmente,</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b/>
          <w:bCs/>
          <w:color w:val="333333"/>
          <w:sz w:val="24"/>
          <w:szCs w:val="24"/>
          <w:lang w:eastAsia="es-CO"/>
        </w:rPr>
        <w:t>ARMANDO LÓPEZ CORTES</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b/>
          <w:bCs/>
          <w:color w:val="333333"/>
          <w:sz w:val="24"/>
          <w:szCs w:val="24"/>
          <w:lang w:eastAsia="es-CO"/>
        </w:rPr>
        <w:t>Director Jurídico</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Proyectó: Christian Ayala</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Reviso: Harold Herreño.</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Aprobó. Armando López Cortes.</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color w:val="333333"/>
          <w:sz w:val="24"/>
          <w:szCs w:val="24"/>
          <w:lang w:eastAsia="es-CO"/>
        </w:rPr>
        <w:t>11602.8.4</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b/>
          <w:bCs/>
          <w:color w:val="333333"/>
          <w:sz w:val="24"/>
          <w:szCs w:val="24"/>
          <w:lang w:eastAsia="es-CO"/>
        </w:rPr>
        <w:t>NOTAS DE PIE DE PÁGINA</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i/>
          <w:iCs/>
          <w:color w:val="333333"/>
          <w:sz w:val="24"/>
          <w:szCs w:val="24"/>
          <w:lang w:eastAsia="es-CO"/>
        </w:rPr>
        <w:t>1. “Por el cual se modifica la estructura del Departamento Administrativo de la Función Pública”.</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i/>
          <w:iCs/>
          <w:color w:val="333333"/>
          <w:sz w:val="24"/>
          <w:szCs w:val="24"/>
          <w:lang w:eastAsia="es-CO"/>
        </w:rPr>
        <w:lastRenderedPageBreak/>
        <w:t>2. “Por </w:t>
      </w:r>
      <w:r w:rsidRPr="00D928BB">
        <w:rPr>
          <w:rFonts w:ascii="Arial" w:eastAsia="Times New Roman" w:hAnsi="Arial" w:cs="Arial"/>
          <w:color w:val="333333"/>
          <w:sz w:val="24"/>
          <w:szCs w:val="24"/>
          <w:lang w:eastAsia="es-CO"/>
        </w:rPr>
        <w:t>medio de/ </w:t>
      </w:r>
      <w:r w:rsidRPr="00D928BB">
        <w:rPr>
          <w:rFonts w:ascii="Arial" w:eastAsia="Times New Roman" w:hAnsi="Arial" w:cs="Arial"/>
          <w:i/>
          <w:iCs/>
          <w:color w:val="333333"/>
          <w:sz w:val="24"/>
          <w:szCs w:val="24"/>
          <w:lang w:eastAsia="es-CO"/>
        </w:rPr>
        <w:t>cual se expide el Decreto </w:t>
      </w:r>
      <w:r w:rsidRPr="00D928BB">
        <w:rPr>
          <w:rFonts w:ascii="Arial" w:eastAsia="Times New Roman" w:hAnsi="Arial" w:cs="Arial"/>
          <w:color w:val="333333"/>
          <w:sz w:val="24"/>
          <w:szCs w:val="24"/>
          <w:lang w:eastAsia="es-CO"/>
        </w:rPr>
        <w:t>único </w:t>
      </w:r>
      <w:r w:rsidRPr="00D928BB">
        <w:rPr>
          <w:rFonts w:ascii="Arial" w:eastAsia="Times New Roman" w:hAnsi="Arial" w:cs="Arial"/>
          <w:i/>
          <w:iCs/>
          <w:color w:val="333333"/>
          <w:sz w:val="24"/>
          <w:szCs w:val="24"/>
          <w:lang w:eastAsia="es-CO"/>
        </w:rPr>
        <w:t>Reglamentario </w:t>
      </w:r>
      <w:r w:rsidRPr="00D928BB">
        <w:rPr>
          <w:rFonts w:ascii="Arial" w:eastAsia="Times New Roman" w:hAnsi="Arial" w:cs="Arial"/>
          <w:color w:val="333333"/>
          <w:sz w:val="24"/>
          <w:szCs w:val="24"/>
          <w:lang w:eastAsia="es-CO"/>
        </w:rPr>
        <w:t>del </w:t>
      </w:r>
      <w:r w:rsidRPr="00D928BB">
        <w:rPr>
          <w:rFonts w:ascii="Arial" w:eastAsia="Times New Roman" w:hAnsi="Arial" w:cs="Arial"/>
          <w:i/>
          <w:iCs/>
          <w:color w:val="333333"/>
          <w:sz w:val="24"/>
          <w:szCs w:val="24"/>
          <w:lang w:eastAsia="es-CO"/>
        </w:rPr>
        <w:t>Sector de Función Pública.”</w:t>
      </w:r>
    </w:p>
    <w:p w:rsidR="00D928BB" w:rsidRPr="00D928BB" w:rsidRDefault="00D928BB" w:rsidP="00D928BB">
      <w:pPr>
        <w:shd w:val="clear" w:color="auto" w:fill="FFFFFF"/>
        <w:spacing w:after="100" w:afterAutospacing="1" w:line="240" w:lineRule="auto"/>
        <w:jc w:val="both"/>
        <w:rPr>
          <w:rFonts w:ascii="Arial" w:eastAsia="Times New Roman" w:hAnsi="Arial" w:cs="Arial"/>
          <w:color w:val="333333"/>
          <w:sz w:val="24"/>
          <w:szCs w:val="24"/>
          <w:lang w:eastAsia="es-CO"/>
        </w:rPr>
      </w:pPr>
      <w:r w:rsidRPr="00D928BB">
        <w:rPr>
          <w:rFonts w:ascii="Arial" w:eastAsia="Times New Roman" w:hAnsi="Arial" w:cs="Arial"/>
          <w:i/>
          <w:iCs/>
          <w:color w:val="333333"/>
          <w:sz w:val="24"/>
          <w:szCs w:val="24"/>
          <w:lang w:eastAsia="es-CO"/>
        </w:rPr>
        <w:t>3. "Por medio de la cual se adoptan medidas para impulsar el trabajo para adultos mayores y se dictan otras disposiciones"</w:t>
      </w:r>
    </w:p>
    <w:p w:rsidR="00D928BB" w:rsidRDefault="00D928BB" w:rsidP="00D928BB">
      <w:pPr>
        <w:jc w:val="center"/>
      </w:pPr>
    </w:p>
    <w:sectPr w:rsidR="00D928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BB"/>
    <w:rsid w:val="00593C60"/>
    <w:rsid w:val="00D928BB"/>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928BB"/>
    <w:rPr>
      <w:b/>
      <w:bCs/>
    </w:rPr>
  </w:style>
  <w:style w:type="character" w:styleId="Hipervnculo">
    <w:name w:val="Hyperlink"/>
    <w:basedOn w:val="Fuentedeprrafopredeter"/>
    <w:uiPriority w:val="99"/>
    <w:semiHidden/>
    <w:unhideWhenUsed/>
    <w:rsid w:val="00D928BB"/>
    <w:rPr>
      <w:color w:val="0000FF"/>
      <w:u w:val="single"/>
    </w:rPr>
  </w:style>
  <w:style w:type="character" w:styleId="nfasis">
    <w:name w:val="Emphasis"/>
    <w:basedOn w:val="Fuentedeprrafopredeter"/>
    <w:uiPriority w:val="20"/>
    <w:qFormat/>
    <w:rsid w:val="00D928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928BB"/>
    <w:rPr>
      <w:b/>
      <w:bCs/>
    </w:rPr>
  </w:style>
  <w:style w:type="character" w:styleId="Hipervnculo">
    <w:name w:val="Hyperlink"/>
    <w:basedOn w:val="Fuentedeprrafopredeter"/>
    <w:uiPriority w:val="99"/>
    <w:semiHidden/>
    <w:unhideWhenUsed/>
    <w:rsid w:val="00D928BB"/>
    <w:rPr>
      <w:color w:val="0000FF"/>
      <w:u w:val="single"/>
    </w:rPr>
  </w:style>
  <w:style w:type="character" w:styleId="nfasis">
    <w:name w:val="Emphasis"/>
    <w:basedOn w:val="Fuentedeprrafopredeter"/>
    <w:uiPriority w:val="20"/>
    <w:qFormat/>
    <w:rsid w:val="00D92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2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7736" TargetMode="External"/><Relationship Id="rId13" Type="http://schemas.openxmlformats.org/officeDocument/2006/relationships/hyperlink" Target="https://www.funcionpublica.gov.co/eva/gestornormativo/norma.php?i=137231" TargetMode="External"/><Relationship Id="rId18" Type="http://schemas.openxmlformats.org/officeDocument/2006/relationships/hyperlink" Target="https://www.funcionpublica.gov.co/eva/gestornormativo/norma.php?i=62866" TargetMode="External"/><Relationship Id="rId26" Type="http://schemas.openxmlformats.org/officeDocument/2006/relationships/hyperlink" Target="https://www.funcionpublica.gov.co/eva/gestornormativo/norma.php?i=173286"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62866" TargetMode="External"/><Relationship Id="rId7" Type="http://schemas.openxmlformats.org/officeDocument/2006/relationships/hyperlink" Target="https://www.funcionpublica.gov.co/eva/gestornormativo/norma.php?i=62866" TargetMode="External"/><Relationship Id="rId12" Type="http://schemas.openxmlformats.org/officeDocument/2006/relationships/hyperlink" Target="https://www.funcionpublica.gov.co/eva/gestornormativo/norma.php?i=137231" TargetMode="External"/><Relationship Id="rId17" Type="http://schemas.openxmlformats.org/officeDocument/2006/relationships/hyperlink" Target="https://www.funcionpublica.gov.co/eva/gestornormativo/norma.php?i=62866" TargetMode="External"/><Relationship Id="rId25" Type="http://schemas.openxmlformats.org/officeDocument/2006/relationships/hyperlink" Target="https://www.funcionpublica.gov.co/eva/gestornormativo/norma.php?i=62866" TargetMode="External"/><Relationship Id="rId2" Type="http://schemas.microsoft.com/office/2007/relationships/stylesWithEffects" Target="stylesWithEffects.xml"/><Relationship Id="rId16" Type="http://schemas.openxmlformats.org/officeDocument/2006/relationships/hyperlink" Target="https://www.funcionpublica.gov.co/eva/gestornormativo/norma.php?i=62866" TargetMode="External"/><Relationship Id="rId20" Type="http://schemas.openxmlformats.org/officeDocument/2006/relationships/hyperlink" Target="https://www.funcionpublica.gov.co/eva/gestornormativo/norma.php?i=6286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uncionpublica.gov.co/eva/gestornormativo/norma.php?i=62866" TargetMode="External"/><Relationship Id="rId11" Type="http://schemas.openxmlformats.org/officeDocument/2006/relationships/hyperlink" Target="https://www.funcionpublica.gov.co/eva/gestornormativo/norma.php?i=67736" TargetMode="External"/><Relationship Id="rId24" Type="http://schemas.openxmlformats.org/officeDocument/2006/relationships/hyperlink" Target="https://www.funcionpublica.gov.co/eva/gestornormativo/norma.php?i=62866" TargetMode="External"/><Relationship Id="rId5" Type="http://schemas.openxmlformats.org/officeDocument/2006/relationships/hyperlink" Target="https://www.funcionpublica.gov.co/eva/gestornormativo/norma.php?i=68813" TargetMode="External"/><Relationship Id="rId15" Type="http://schemas.openxmlformats.org/officeDocument/2006/relationships/hyperlink" Target="https://www.funcionpublica.gov.co/eva/gestornormativo/norma.php?i=173286" TargetMode="External"/><Relationship Id="rId23" Type="http://schemas.openxmlformats.org/officeDocument/2006/relationships/hyperlink" Target="https://www.funcionpublica.gov.co/eva/gestornormativo/norma.php?i=137231" TargetMode="External"/><Relationship Id="rId28" Type="http://schemas.openxmlformats.org/officeDocument/2006/relationships/hyperlink" Target="https://www.funcionpublica.gov.co/eva/gestornormativo/norma.php?i=41249" TargetMode="External"/><Relationship Id="rId10" Type="http://schemas.openxmlformats.org/officeDocument/2006/relationships/hyperlink" Target="https://www.funcionpublica.gov.co/eva/gestornormativo/norma.php?i=62866" TargetMode="External"/><Relationship Id="rId19" Type="http://schemas.openxmlformats.org/officeDocument/2006/relationships/hyperlink" Target="https://www.funcionpublica.gov.co/eva/gestornormativo/norma.php?i=62866"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2866" TargetMode="External"/><Relationship Id="rId14" Type="http://schemas.openxmlformats.org/officeDocument/2006/relationships/hyperlink" Target="https://www.funcionpublica.gov.co/eva/gestornormativo/norma.php?i=137231" TargetMode="External"/><Relationship Id="rId22" Type="http://schemas.openxmlformats.org/officeDocument/2006/relationships/hyperlink" Target="https://www.funcionpublica.gov.co/eva/gestornormativo/norma.php?i=137231" TargetMode="External"/><Relationship Id="rId27" Type="http://schemas.openxmlformats.org/officeDocument/2006/relationships/hyperlink" Target="http://www.funcionpubiica.gov.co/eva"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1878</Words>
  <Characters>10329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2022-07-04T15:26:00Z</dcterms:created>
  <dcterms:modified xsi:type="dcterms:W3CDTF">2022-07-04T15:30:00Z</dcterms:modified>
</cp:coreProperties>
</file>